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644A5" w14:textId="09BBAAD0" w:rsidR="00ED78F7" w:rsidRPr="00ED78F7" w:rsidRDefault="00ED78F7" w:rsidP="00ED78F7">
      <w:pPr>
        <w:jc w:val="center"/>
        <w:rPr>
          <w:rFonts w:hint="eastAsia"/>
          <w:b/>
          <w:bCs/>
        </w:rPr>
      </w:pPr>
      <w:r w:rsidRPr="00ED78F7">
        <w:rPr>
          <w:rFonts w:hint="eastAsia"/>
          <w:b/>
          <w:bCs/>
        </w:rPr>
        <w:t>关于β射线测厚仪辐射防护</w:t>
      </w:r>
    </w:p>
    <w:p w14:paraId="571597E0" w14:textId="3B994E1B" w:rsidR="00ED78F7" w:rsidRPr="00ED78F7" w:rsidRDefault="00ED78F7" w:rsidP="00ED78F7">
      <w:r w:rsidRPr="00ED78F7">
        <w:rPr>
          <w:b/>
          <w:bCs/>
        </w:rPr>
        <w:t>一、国家规定的辐射标准</w:t>
      </w:r>
    </w:p>
    <w:p w14:paraId="72704251" w14:textId="77777777" w:rsidR="00ED78F7" w:rsidRPr="00ED78F7" w:rsidRDefault="00ED78F7" w:rsidP="00ED78F7">
      <w:r w:rsidRPr="00ED78F7">
        <w:t>按照国家2002年10月8日发布的《电离辐射防护剂辐射源安全基本标准》(GB18871-2002)的规定</w:t>
      </w:r>
    </w:p>
    <w:p w14:paraId="57AD0460" w14:textId="77777777" w:rsidR="00ED78F7" w:rsidRPr="00ED78F7" w:rsidRDefault="00ED78F7" w:rsidP="00ED78F7">
      <w:r w:rsidRPr="00ED78F7">
        <w:t>1.职业照射的剂量限值应对任何工作人员的职业照射水平进行控制,使之不得超过下述限值:小</w:t>
      </w:r>
    </w:p>
    <w:p w14:paraId="238DC6E5" w14:textId="77777777" w:rsidR="00ED78F7" w:rsidRPr="00ED78F7" w:rsidRDefault="00ED78F7" w:rsidP="00ED78F7">
      <w:r w:rsidRPr="00ED78F7">
        <w:t>1)由审管部门决定的连续5年的年平均有效剂量(但不可做任何追溯性平均),20mSv:</w:t>
      </w:r>
    </w:p>
    <w:p w14:paraId="111407E0" w14:textId="77777777" w:rsidR="00ED78F7" w:rsidRPr="00ED78F7" w:rsidRDefault="00ED78F7" w:rsidP="00ED78F7">
      <w:r w:rsidRPr="00ED78F7">
        <w:t>2)任何一年中的有效剂量,50mSv;</w:t>
      </w:r>
    </w:p>
    <w:p w14:paraId="487ED732" w14:textId="77777777" w:rsidR="00ED78F7" w:rsidRPr="00ED78F7" w:rsidRDefault="00ED78F7" w:rsidP="00ED78F7">
      <w:r w:rsidRPr="00ED78F7">
        <w:t>3)眼晶体的年当量剂量,150mSv;</w:t>
      </w:r>
    </w:p>
    <w:p w14:paraId="45126331" w14:textId="77777777" w:rsidR="00ED78F7" w:rsidRPr="00ED78F7" w:rsidRDefault="00ED78F7" w:rsidP="00ED78F7">
      <w:r w:rsidRPr="00ED78F7">
        <w:t>4)四肢(手和足)或皮肤的年当量剂量,500mSv。</w:t>
      </w:r>
    </w:p>
    <w:p w14:paraId="6D743A52" w14:textId="77777777" w:rsidR="00ED78F7" w:rsidRPr="00ED78F7" w:rsidRDefault="00ED78F7" w:rsidP="00ED78F7"/>
    <w:p w14:paraId="1EEE4EBB" w14:textId="77777777" w:rsidR="00ED78F7" w:rsidRPr="00ED78F7" w:rsidRDefault="00ED78F7" w:rsidP="00ED78F7">
      <w:r w:rsidRPr="00ED78F7">
        <w:rPr>
          <w:b/>
          <w:bCs/>
        </w:rPr>
        <w:t>二、日常生活中常见辐射强度对比</w:t>
      </w:r>
    </w:p>
    <w:p w14:paraId="374F27FD" w14:textId="77777777" w:rsidR="00ED78F7" w:rsidRPr="00ED78F7" w:rsidRDefault="00ED78F7" w:rsidP="00ED78F7">
      <w:r w:rsidRPr="00ED78F7">
        <w:t>1、 飞机：10小时1.1mSV;</w:t>
      </w:r>
    </w:p>
    <w:p w14:paraId="72BDD665" w14:textId="77777777" w:rsidR="00ED78F7" w:rsidRPr="00ED78F7" w:rsidRDefault="00ED78F7" w:rsidP="00ED78F7">
      <w:r w:rsidRPr="00ED78F7">
        <w:t>2、一次胸透：1.1mSV；一次拍片：0.2mSV;</w:t>
      </w:r>
    </w:p>
    <w:p w14:paraId="77D6D773" w14:textId="77777777" w:rsidR="00ED78F7" w:rsidRPr="00ED78F7" w:rsidRDefault="00ED78F7" w:rsidP="00ED78F7">
      <w:r w:rsidRPr="00ED78F7">
        <w:t>3、 一次CT：脑部2mSV, 胸部8mSV, 腹部10mSV,</w:t>
      </w:r>
    </w:p>
    <w:p w14:paraId="0814533D" w14:textId="77777777" w:rsidR="00ED78F7" w:rsidRPr="00ED78F7" w:rsidRDefault="00ED78F7" w:rsidP="00ED78F7">
      <w:r w:rsidRPr="00ED78F7">
        <w:t>4、 一次CAT血管造影15mSV；</w:t>
      </w:r>
    </w:p>
    <w:p w14:paraId="0EC9F366" w14:textId="77777777" w:rsidR="00ED78F7" w:rsidRPr="00ED78F7" w:rsidRDefault="00ED78F7" w:rsidP="00ED78F7"/>
    <w:p w14:paraId="748B5848" w14:textId="77777777" w:rsidR="00ED78F7" w:rsidRPr="00ED78F7" w:rsidRDefault="00ED78F7" w:rsidP="00ED78F7">
      <w:r w:rsidRPr="00ED78F7">
        <w:rPr>
          <w:b/>
          <w:bCs/>
        </w:rPr>
        <w:t>三、关于辐射防护管理控制要求</w:t>
      </w:r>
    </w:p>
    <w:p w14:paraId="20C6C642" w14:textId="0B206E74" w:rsidR="00ED78F7" w:rsidRPr="00ED78F7" w:rsidRDefault="00ED78F7" w:rsidP="00ED78F7">
      <w:r w:rsidRPr="00ED78F7">
        <w:rPr>
          <w:rFonts w:hint="eastAsia"/>
        </w:rPr>
        <w:lastRenderedPageBreak/>
        <w:drawing>
          <wp:inline distT="0" distB="0" distL="0" distR="0" wp14:anchorId="7DF8C1A0" wp14:editId="0C509994">
            <wp:extent cx="5274310" cy="3284220"/>
            <wp:effectExtent l="0" t="0" r="2540" b="0"/>
            <wp:docPr id="40033885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8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08E73" w14:textId="77777777" w:rsidR="00ED78F7" w:rsidRPr="00ED78F7" w:rsidRDefault="00ED78F7" w:rsidP="00ED78F7">
      <w:r w:rsidRPr="00ED78F7">
        <w:rPr>
          <w:b/>
          <w:bCs/>
        </w:rPr>
        <w:t>四、关于辐射豁免管理</w:t>
      </w:r>
    </w:p>
    <w:p w14:paraId="0455754C" w14:textId="77777777" w:rsidR="00ED78F7" w:rsidRPr="00ED78F7" w:rsidRDefault="00ED78F7" w:rsidP="00ED78F7">
      <w:r w:rsidRPr="00ED78F7">
        <w:t>A2可豁免的源与豁免水平</w:t>
      </w:r>
    </w:p>
    <w:p w14:paraId="5D819BD4" w14:textId="77777777" w:rsidR="00ED78F7" w:rsidRPr="00ED78F7" w:rsidRDefault="00ED78F7" w:rsidP="00ED78F7">
      <w:r w:rsidRPr="00ED78F7">
        <w:t>A2.1根据A1.1~A1.3规定的准则,下列各种实践中源经审管部门认可后可被本标准的</w:t>
      </w:r>
    </w:p>
    <w:p w14:paraId="50440F32" w14:textId="77777777" w:rsidR="00ED78F7" w:rsidRPr="00ED78F7" w:rsidRDefault="00ED78F7" w:rsidP="00ED78F7">
      <w:r w:rsidRPr="00ED78F7">
        <w:t>要求豁免</w:t>
      </w:r>
    </w:p>
    <w:p w14:paraId="5E07E2AE" w14:textId="77777777" w:rsidR="00ED78F7" w:rsidRPr="00ED78F7" w:rsidRDefault="00ED78F7" w:rsidP="00ED78F7">
      <w:r w:rsidRPr="00ED78F7">
        <w:t>a)符合下列</w:t>
      </w:r>
      <w:proofErr w:type="gramStart"/>
      <w:r w:rsidRPr="00ED78F7">
        <w:t>亲件并</w:t>
      </w:r>
      <w:proofErr w:type="gramEnd"/>
      <w:r w:rsidRPr="00ED78F7">
        <w:t>具有审管部门认可的型式的辐射发生器和符合下列条件的电子管件(如显像用阴极射线管):</w:t>
      </w:r>
    </w:p>
    <w:p w14:paraId="6F900E2A" w14:textId="77777777" w:rsidR="00ED78F7" w:rsidRPr="00ED78F7" w:rsidRDefault="00ED78F7" w:rsidP="00ED78F7">
      <w:r w:rsidRPr="00ED78F7">
        <w:t>1)正常运行</w:t>
      </w:r>
      <w:proofErr w:type="gramStart"/>
      <w:r w:rsidRPr="00ED78F7">
        <w:t>操作亲件下</w:t>
      </w:r>
      <w:proofErr w:type="gramEnd"/>
      <w:r w:rsidRPr="00ED78F7">
        <w:t>,在</w:t>
      </w:r>
      <w:proofErr w:type="gramStart"/>
      <w:r w:rsidRPr="00ED78F7">
        <w:t>距设备</w:t>
      </w:r>
      <w:proofErr w:type="gramEnd"/>
      <w:r w:rsidRPr="00ED78F7">
        <w:t>的任何可达表面01m处所引起的周围剂量当量率或定向剂量当量率不超过1uSvh;或</w:t>
      </w:r>
    </w:p>
    <w:p w14:paraId="047C631D" w14:textId="77777777" w:rsidR="00ED78F7" w:rsidRPr="00ED78F7" w:rsidRDefault="00ED78F7" w:rsidP="00ED78F7">
      <w:r w:rsidRPr="00ED78F7">
        <w:t>2)所产生辐射的大能量不大于5KeV。</w:t>
      </w:r>
    </w:p>
    <w:p w14:paraId="32F2FAC5" w14:textId="77777777" w:rsidR="00ED78F7" w:rsidRPr="00ED78F7" w:rsidRDefault="00ED78F7" w:rsidP="00ED78F7"/>
    <w:p w14:paraId="2E8B29FD" w14:textId="77777777" w:rsidR="00ED78F7" w:rsidRPr="00ED78F7" w:rsidRDefault="00ED78F7" w:rsidP="00ED78F7">
      <w:r w:rsidRPr="00ED78F7">
        <w:rPr>
          <w:b/>
          <w:bCs/>
        </w:rPr>
        <w:t>五、个人辐射防护三原则</w:t>
      </w:r>
    </w:p>
    <w:p w14:paraId="2BD6A142" w14:textId="77777777" w:rsidR="00ED78F7" w:rsidRPr="00ED78F7" w:rsidRDefault="00ED78F7" w:rsidP="00ED78F7">
      <w:r w:rsidRPr="00ED78F7">
        <w:t>防止或减少放射源发出的射线对人体的伤害,主要有以下三种防护手段:</w:t>
      </w:r>
    </w:p>
    <w:p w14:paraId="63F52C5A" w14:textId="77777777" w:rsidR="00ED78F7" w:rsidRPr="00ED78F7" w:rsidRDefault="00ED78F7" w:rsidP="00ED78F7">
      <w:r w:rsidRPr="00ED78F7">
        <w:t>(</w:t>
      </w:r>
      <w:proofErr w:type="gramStart"/>
      <w:r w:rsidRPr="00ED78F7">
        <w:t>一</w:t>
      </w:r>
      <w:proofErr w:type="gramEnd"/>
      <w:r w:rsidRPr="00ED78F7">
        <w:t>)距离防护:距离放射源越远,接触的射线就越少,受到的伤害也越小。一般一米以外就是本体了</w:t>
      </w:r>
    </w:p>
    <w:p w14:paraId="4FB36E8F" w14:textId="77777777" w:rsidR="00ED78F7" w:rsidRPr="00ED78F7" w:rsidRDefault="00ED78F7" w:rsidP="00ED78F7">
      <w:r w:rsidRPr="00ED78F7">
        <w:t>(二)屏蔽防护:选取适当的屏蔽材料(如混凝土、铁或铅等)做成屏蔽体遮挡放射源发出的射线。</w:t>
      </w:r>
    </w:p>
    <w:p w14:paraId="31A53313" w14:textId="77777777" w:rsidR="00ED78F7" w:rsidRPr="00ED78F7" w:rsidRDefault="00ED78F7" w:rsidP="00ED78F7">
      <w:r w:rsidRPr="00ED78F7">
        <w:t>(三)时间防护:尽可能减少与放射源的接触时间。在实际工作中,通常将上述三种防护手段组合应用,不超过2小时长时间近距离接触,如长时间接触,一般只需修养,增强高蛋白</w:t>
      </w:r>
      <w:r w:rsidRPr="00ED78F7">
        <w:lastRenderedPageBreak/>
        <w:t>质即可。</w:t>
      </w:r>
    </w:p>
    <w:p w14:paraId="29A5328D" w14:textId="77777777" w:rsidR="00ED78F7" w:rsidRPr="00ED78F7" w:rsidRDefault="00ED78F7" w:rsidP="00ED78F7"/>
    <w:p w14:paraId="41910C1C" w14:textId="77777777" w:rsidR="00ED78F7" w:rsidRPr="00ED78F7" w:rsidRDefault="00ED78F7" w:rsidP="00ED78F7">
      <w:r w:rsidRPr="00ED78F7">
        <w:rPr>
          <w:b/>
          <w:bCs/>
        </w:rPr>
        <w:t>六、</w:t>
      </w:r>
      <w:proofErr w:type="gramStart"/>
      <w:r w:rsidRPr="00ED78F7">
        <w:rPr>
          <w:b/>
          <w:bCs/>
        </w:rPr>
        <w:t>锐奇</w:t>
      </w:r>
      <w:proofErr w:type="gramEnd"/>
      <w:r w:rsidRPr="00ED78F7">
        <w:rPr>
          <w:b/>
          <w:bCs/>
        </w:rPr>
        <w:t>β射线测厚仪防护外罩</w:t>
      </w:r>
    </w:p>
    <w:p w14:paraId="748A738C" w14:textId="77777777" w:rsidR="00ED78F7" w:rsidRPr="00ED78F7" w:rsidRDefault="00ED78F7" w:rsidP="00ED78F7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4"/>
        <w:gridCol w:w="4182"/>
      </w:tblGrid>
      <w:tr w:rsidR="00ED78F7" w:rsidRPr="00ED78F7" w14:paraId="49F2802E" w14:textId="77777777" w:rsidTr="00ED78F7">
        <w:trPr>
          <w:trHeight w:val="465"/>
          <w:tblCellSpacing w:w="0" w:type="dxa"/>
        </w:trPr>
        <w:tc>
          <w:tcPr>
            <w:tcW w:w="250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7FB8D8" w14:textId="14443B39" w:rsidR="00ED78F7" w:rsidRPr="00ED78F7" w:rsidRDefault="00ED78F7" w:rsidP="00ED78F7">
            <w:r w:rsidRPr="00ED78F7">
              <w:rPr>
                <w:rFonts w:hint="eastAsia"/>
              </w:rPr>
              <w:drawing>
                <wp:inline distT="0" distB="0" distL="0" distR="0" wp14:anchorId="4B2902A6" wp14:editId="343557C3">
                  <wp:extent cx="2667000" cy="2233754"/>
                  <wp:effectExtent l="0" t="0" r="0" b="0"/>
                  <wp:docPr id="1247753618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8233" cy="2243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E32165" w14:textId="77777777" w:rsidR="00ED78F7" w:rsidRPr="00ED78F7" w:rsidRDefault="00ED78F7" w:rsidP="00ED78F7"/>
          <w:p w14:paraId="1884DAF6" w14:textId="77777777" w:rsidR="00ED78F7" w:rsidRPr="00ED78F7" w:rsidRDefault="00ED78F7" w:rsidP="00ED78F7">
            <w:proofErr w:type="gramStart"/>
            <w:r w:rsidRPr="00ED78F7">
              <w:rPr>
                <w:b/>
                <w:bCs/>
              </w:rPr>
              <w:t>锐奇</w:t>
            </w:r>
            <w:proofErr w:type="gramEnd"/>
            <w:r w:rsidRPr="00ED78F7">
              <w:rPr>
                <w:b/>
                <w:bCs/>
              </w:rPr>
              <w:t>β射线测厚仪（O型架）</w:t>
            </w:r>
          </w:p>
        </w:tc>
        <w:tc>
          <w:tcPr>
            <w:tcW w:w="250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D0DCD8" w14:textId="7EEF9522" w:rsidR="00ED78F7" w:rsidRPr="00ED78F7" w:rsidRDefault="00ED78F7" w:rsidP="00ED78F7">
            <w:r w:rsidRPr="00ED78F7">
              <w:rPr>
                <w:rFonts w:hint="eastAsia"/>
              </w:rPr>
              <w:drawing>
                <wp:inline distT="0" distB="0" distL="0" distR="0" wp14:anchorId="7F5766F4" wp14:editId="70833080">
                  <wp:extent cx="2699229" cy="2199788"/>
                  <wp:effectExtent l="0" t="0" r="6350" b="0"/>
                  <wp:docPr id="130938363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6898" cy="2206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B51D43" w14:textId="77777777" w:rsidR="00ED78F7" w:rsidRPr="00ED78F7" w:rsidRDefault="00ED78F7" w:rsidP="00ED78F7"/>
          <w:p w14:paraId="7D308886" w14:textId="77777777" w:rsidR="00ED78F7" w:rsidRPr="00ED78F7" w:rsidRDefault="00ED78F7" w:rsidP="00ED78F7">
            <w:proofErr w:type="gramStart"/>
            <w:r w:rsidRPr="00ED78F7">
              <w:rPr>
                <w:b/>
                <w:bCs/>
              </w:rPr>
              <w:t>锐奇</w:t>
            </w:r>
            <w:proofErr w:type="gramEnd"/>
            <w:r w:rsidRPr="00ED78F7">
              <w:rPr>
                <w:b/>
                <w:bCs/>
              </w:rPr>
              <w:t>β射线测厚仪（C型架）</w:t>
            </w:r>
          </w:p>
        </w:tc>
      </w:tr>
    </w:tbl>
    <w:p w14:paraId="575CB352" w14:textId="77777777" w:rsidR="00F64BC4" w:rsidRPr="00ED78F7" w:rsidRDefault="00F64BC4" w:rsidP="00ED78F7">
      <w:pPr>
        <w:rPr>
          <w:rFonts w:hint="eastAsia"/>
        </w:rPr>
      </w:pPr>
    </w:p>
    <w:sectPr w:rsidR="00F64BC4" w:rsidRPr="00ED78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4C3"/>
    <w:rsid w:val="00152528"/>
    <w:rsid w:val="004F3672"/>
    <w:rsid w:val="005744C3"/>
    <w:rsid w:val="00E64094"/>
    <w:rsid w:val="00ED78F7"/>
    <w:rsid w:val="00F6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88DEA"/>
  <w15:chartTrackingRefBased/>
  <w15:docId w15:val="{5F1EBB05-BCCD-4E77-9A52-A3C245AB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44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4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4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44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44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4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4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4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44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44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44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44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44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44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44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44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44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44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4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44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44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44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44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44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44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44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44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44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3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sun</dc:creator>
  <cp:keywords/>
  <dc:description/>
  <cp:lastModifiedBy>wei sun</cp:lastModifiedBy>
  <cp:revision>2</cp:revision>
  <dcterms:created xsi:type="dcterms:W3CDTF">2025-04-02T07:57:00Z</dcterms:created>
  <dcterms:modified xsi:type="dcterms:W3CDTF">2025-04-02T07:57:00Z</dcterms:modified>
</cp:coreProperties>
</file>